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theme/theme1.xml" ContentType="application/vnd.openxmlformats-officedocument.theme+xml"/>
  <Override PartName="/word/header1.xml" ContentType="application/vnd.openxmlformats-officedocument.wordprocessingml.header+xml"/>
  <Override PartName="/word/document.xml" ContentType="application/vnd.openxmlformats-officedocument.wordprocessingml.document.main+xml"/>
  <Override PartName="/word/header3.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header4.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6.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p>
    <w:p>
      <w:pPr>
        <w:pStyle w:val="Normal"/>
        <w:rPr/>
      </w:pPr>
      <w:r>
        <w:rPr/>
      </w:r>
    </w:p>
    <w:p>
      <w:pPr>
        <w:pStyle w:val="Normal"/>
        <w:ind w:hanging="67"/>
        <w:jc w:val="center"/>
        <w:rPr>
          <w:b/>
          <w:b/>
          <w:color w:val="003399"/>
        </w:rPr>
      </w:pPr>
      <w:r>
        <w:rPr>
          <w:rFonts w:eastAsia="Calibri"/>
        </w:rPr>
      </w:r>
    </w:p>
    <w:p>
      <w:pPr>
        <w:pStyle w:val="Normal"/>
        <w:ind w:hanging="67"/>
        <w:jc w:val="center"/>
        <w:rPr>
          <w:b/>
          <w:b/>
          <w:color w:val="003399"/>
        </w:rPr>
      </w:pPr>
      <w:r>
        <w:rPr>
          <w:rFonts w:eastAsia="Calibri"/>
        </w:rPr>
      </w:r>
    </w:p>
    <w:p>
      <w:pPr>
        <w:pStyle w:val="Normal"/>
        <w:ind w:hanging="67"/>
        <w:jc w:val="center"/>
        <w:rPr>
          <w:b/>
          <w:b/>
          <w:color w:val="003399"/>
        </w:rPr>
      </w:pPr>
      <w:r>
        <w:rPr>
          <w:rFonts w:eastAsia="Calibri"/>
        </w:rPr>
      </w:r>
    </w:p>
    <w:p>
      <w:pPr>
        <w:pStyle w:val="Normal"/>
        <w:ind w:hanging="67"/>
        <w:jc w:val="center"/>
        <w:rPr>
          <w:b/>
          <w:b/>
          <w:color w:val="003399"/>
        </w:rPr>
      </w:pPr>
      <w:r>
        <w:rPr>
          <w:rFonts w:eastAsia="Calibri"/>
        </w:rPr>
      </w:r>
    </w:p>
    <w:p>
      <w:pPr>
        <w:pStyle w:val="Normal"/>
        <w:ind w:hanging="67"/>
        <w:jc w:val="center"/>
        <w:rPr>
          <w:b/>
          <w:b/>
          <w:color w:val="003399"/>
        </w:rPr>
      </w:pPr>
      <w:r>
        <w:rPr>
          <w:rFonts w:eastAsia="Calibri"/>
        </w:rPr>
      </w:r>
    </w:p>
    <w:p>
      <w:pPr>
        <w:pStyle w:val="Normal"/>
        <w:ind w:hanging="67"/>
        <w:jc w:val="center"/>
        <w:rPr>
          <w:b/>
          <w:b/>
          <w:color w:val="003399"/>
        </w:rPr>
      </w:pPr>
      <w:r>
        <w:rPr>
          <w:rFonts w:eastAsia="Calibri"/>
        </w:rPr>
      </w:r>
    </w:p>
    <w:p>
      <w:pPr>
        <w:pStyle w:val="Normal"/>
        <w:ind w:hanging="67"/>
        <w:jc w:val="center"/>
        <w:rPr>
          <w:b/>
          <w:b/>
          <w:color w:val="003399"/>
        </w:rPr>
      </w:pPr>
      <w:r>
        <w:rPr>
          <w:rFonts w:eastAsia="Calibri"/>
        </w:rPr>
      </w:r>
    </w:p>
    <w:p>
      <w:pPr>
        <w:pStyle w:val="Normal"/>
        <w:ind w:hanging="67"/>
        <w:jc w:val="center"/>
        <w:rPr>
          <w:b/>
          <w:b/>
          <w:color w:val="003399"/>
        </w:rPr>
      </w:pPr>
      <w:r>
        <w:rPr>
          <w:rFonts w:eastAsia="Calibri"/>
        </w:rPr>
      </w:r>
    </w:p>
    <w:p>
      <w:pPr>
        <w:pStyle w:val="Normal"/>
        <w:ind w:hanging="67"/>
        <w:jc w:val="center"/>
        <w:rPr>
          <w:b/>
          <w:b/>
          <w:color w:val="003399"/>
        </w:rPr>
      </w:pPr>
      <w:r>
        <w:rPr>
          <w:rFonts w:eastAsia="Calibri"/>
        </w:rPr>
      </w:r>
    </w:p>
    <w:p>
      <w:pPr>
        <w:pStyle w:val="Normal"/>
        <w:jc w:val="center"/>
        <w:rPr>
          <w:rFonts w:eastAsia="Calibri"/>
          <w:b/>
          <w:b/>
        </w:rPr>
      </w:pPr>
      <w:r>
        <w:rPr>
          <w:rFonts w:eastAsia="Calibri"/>
          <w:b/>
        </w:rPr>
        <w:t>Об утверждении Правил взимания платы с заявителей, аккредитованных лиц подведомственному национальному органу по аккредитации федеральному государственному учреждению за внесение сведений, предоставление сведений из реестров сертификатов соответствия, выданных аккредитованными лицами, реестров деклараций о соответствии, в том числе из национальной части Единого реестра выданных сертификатов соответствия и зарегистрированных деклараций о соответствии Евразийского экономического союза, регистрацию деклараций о соответствии в реестрах деклараций о соответствии, в том числе в национальной части Единого реестра выданных сертификатов соответствия и зарегистрированных деклараций о соответствии Евразийского экономического союза</w:t>
      </w:r>
    </w:p>
    <w:p>
      <w:pPr>
        <w:pStyle w:val="Normal"/>
        <w:rPr/>
      </w:pPr>
      <w:r>
        <w:rPr/>
      </w:r>
    </w:p>
    <w:p>
      <w:pPr>
        <w:pStyle w:val="Normal"/>
        <w:spacing w:lineRule="auto" w:line="360"/>
        <w:ind w:firstLine="709"/>
        <w:rPr/>
      </w:pPr>
      <w:r>
        <w:rPr/>
        <w:t xml:space="preserve">В соответствии с частью 9 статьи 25 Федерального закона </w:t>
        <w:br/>
        <w:t xml:space="preserve">от 28 декабря 2013 г. № 412-ФЗ «Об аккредитации в национальной системе аккредитации» (Собрание законодательства Российской Федерации, 2013, № 52, ст. 6977; 2014, № 26, ст. 3366; 2016, № 10, ст. 1323; 2018, № 31, ст. 4851) </w:t>
      </w:r>
      <w:r>
        <w:rPr>
          <w:spacing w:val="60"/>
        </w:rPr>
        <w:t>приказыва</w:t>
      </w:r>
      <w:r>
        <w:rPr/>
        <w:t>ю:</w:t>
      </w:r>
    </w:p>
    <w:p>
      <w:pPr>
        <w:pStyle w:val="Normal"/>
        <w:spacing w:lineRule="auto" w:line="360"/>
        <w:ind w:firstLine="709"/>
        <w:rPr/>
      </w:pPr>
      <w:r>
        <w:rPr/>
        <w:t xml:space="preserve">1. Утвердить прилагаемые Правила взимания платы с заявителей, аккредитованных лиц подведомственному национальному органу </w:t>
        <w:br/>
        <w:t xml:space="preserve">по аккредитации федеральному государственному учреждению за внесение сведений, предоставление сведений из реестров сертификатов соответствия, выданных аккредитованными лицами, реестров деклараций о соответствии, </w:t>
        <w:br/>
        <w:t xml:space="preserve">в том числе из национальной части Единого реестра выданных сертификатов соответствия и зарегистрированных деклараций о соответствии Евразийского экономического союза, регистрацию деклараций о соответствии в реестрах деклараций о соответствии, в том числе в национальной части Единого реестра выданных сертификатов соответствия и зарегистрированных деклараций </w:t>
        <w:br/>
        <w:t>о соответствии Евразийского экономического союза.</w:t>
      </w:r>
    </w:p>
    <w:p>
      <w:pPr>
        <w:pStyle w:val="Normal"/>
        <w:spacing w:lineRule="auto" w:line="360"/>
        <w:ind w:firstLine="709"/>
        <w:rPr/>
      </w:pPr>
      <w:r>
        <w:rPr/>
        <w:t>2. Настоящий приказ вступает в силу по истечении 90 дней с даты его официального опубликования.</w:t>
      </w:r>
    </w:p>
    <w:p>
      <w:pPr>
        <w:pStyle w:val="Normal"/>
        <w:rPr>
          <w:rFonts w:eastAsia="Calibri" w:eastAsiaTheme="minorHAnsi"/>
          <w:sz w:val="24"/>
          <w:szCs w:val="24"/>
        </w:rPr>
      </w:pPr>
      <w:r>
        <w:rPr>
          <w:rFonts w:eastAsia="Calibri" w:eastAsiaTheme="minorHAnsi"/>
          <w:sz w:val="24"/>
          <w:szCs w:val="24"/>
        </w:rPr>
      </w:r>
    </w:p>
    <w:p>
      <w:pPr>
        <w:pStyle w:val="Normal"/>
        <w:rPr>
          <w:rFonts w:eastAsia="Calibri" w:eastAsiaTheme="minorHAnsi"/>
          <w:sz w:val="24"/>
          <w:szCs w:val="24"/>
        </w:rPr>
      </w:pPr>
      <w:r>
        <w:rPr>
          <w:rFonts w:eastAsia="Calibri" w:eastAsiaTheme="minorHAnsi"/>
          <w:sz w:val="24"/>
          <w:szCs w:val="24"/>
        </w:rPr>
      </w:r>
    </w:p>
    <w:p>
      <w:pPr>
        <w:pStyle w:val="Normal"/>
        <w:rPr>
          <w:rFonts w:eastAsia="Calibri" w:eastAsiaTheme="minorHAnsi"/>
          <w:sz w:val="24"/>
          <w:szCs w:val="24"/>
        </w:rPr>
      </w:pPr>
      <w:r>
        <w:rPr>
          <w:rFonts w:eastAsia="Calibri" w:eastAsiaTheme="minorHAnsi"/>
          <w:sz w:val="24"/>
          <w:szCs w:val="24"/>
        </w:rPr>
      </w:r>
    </w:p>
    <w:tbl>
      <w:tblPr>
        <w:tblStyle w:val="a5"/>
        <w:tblW w:w="9628" w:type="dxa"/>
        <w:jc w:val="left"/>
        <w:tblInd w:w="0" w:type="dxa"/>
        <w:tblCellMar>
          <w:top w:w="0" w:type="dxa"/>
          <w:left w:w="108" w:type="dxa"/>
          <w:bottom w:w="0" w:type="dxa"/>
          <w:right w:w="108" w:type="dxa"/>
        </w:tblCellMar>
        <w:tblLook w:val="04a0" w:noVBand="1" w:noHBand="0" w:firstRow="1" w:lastRow="0" w:firstColumn="1" w:lastColumn="0"/>
      </w:tblPr>
      <w:tblGrid>
        <w:gridCol w:w="4814"/>
        <w:gridCol w:w="4813"/>
      </w:tblGrid>
      <w:tr>
        <w:trPr/>
        <w:tc>
          <w:tcPr>
            <w:tcW w:w="4814" w:type="dxa"/>
            <w:tcBorders>
              <w:top w:val="nil"/>
              <w:left w:val="nil"/>
              <w:bottom w:val="nil"/>
              <w:right w:val="nil"/>
              <w:insideH w:val="nil"/>
              <w:insideV w:val="nil"/>
            </w:tcBorders>
            <w:shd w:fill="auto" w:val="clear"/>
          </w:tcPr>
          <w:p>
            <w:pPr>
              <w:pStyle w:val="Normal"/>
              <w:spacing w:lineRule="auto" w:line="240" w:before="0" w:after="0"/>
              <w:rPr>
                <w:rFonts w:eastAsia="Calibri" w:eastAsiaTheme="minorHAnsi"/>
              </w:rPr>
            </w:pPr>
            <w:r>
              <w:rPr>
                <w:rFonts w:eastAsia="Calibri" w:eastAsiaTheme="minorHAnsi"/>
              </w:rPr>
              <w:t>Министр</w:t>
            </w:r>
          </w:p>
        </w:tc>
        <w:tc>
          <w:tcPr>
            <w:tcW w:w="4813" w:type="dxa"/>
            <w:tcBorders>
              <w:top w:val="nil"/>
              <w:left w:val="nil"/>
              <w:bottom w:val="nil"/>
              <w:right w:val="nil"/>
              <w:insideH w:val="nil"/>
              <w:insideV w:val="nil"/>
            </w:tcBorders>
            <w:shd w:fill="auto" w:val="clear"/>
          </w:tcPr>
          <w:p>
            <w:pPr>
              <w:pStyle w:val="Normal"/>
              <w:spacing w:lineRule="auto" w:line="240" w:before="0" w:after="0"/>
              <w:jc w:val="right"/>
              <w:rPr>
                <w:rFonts w:eastAsia="Calibri" w:eastAsiaTheme="minorHAnsi"/>
              </w:rPr>
            </w:pPr>
            <w:r>
              <w:rPr>
                <w:rFonts w:eastAsia="Calibri" w:eastAsiaTheme="minorHAnsi"/>
              </w:rPr>
              <w:t>М.С. Орешкин</w:t>
            </w:r>
          </w:p>
        </w:tc>
      </w:tr>
    </w:tbl>
    <w:p>
      <w:pPr>
        <w:pStyle w:val="Normal"/>
        <w:rPr>
          <w:rFonts w:eastAsia="Calibri" w:eastAsiaTheme="minorHAnsi"/>
          <w:sz w:val="24"/>
          <w:szCs w:val="24"/>
        </w:rPr>
      </w:pPr>
      <w:r>
        <w:rPr>
          <w:rFonts w:eastAsia="Calibri" w:eastAsiaTheme="minorHAnsi"/>
          <w:sz w:val="24"/>
          <w:szCs w:val="24"/>
        </w:rPr>
      </w:r>
    </w:p>
    <w:p>
      <w:pPr>
        <w:pStyle w:val="Normal"/>
        <w:ind w:firstLine="708"/>
        <w:jc w:val="center"/>
        <w:rPr>
          <w:b/>
          <w:b/>
        </w:rPr>
      </w:pPr>
      <w:r>
        <w:rPr>
          <w:b/>
        </w:rPr>
      </w:r>
    </w:p>
    <w:p>
      <w:pPr>
        <w:sectPr>
          <w:headerReference w:type="default" r:id="rId2"/>
          <w:headerReference w:type="first" r:id="rId3"/>
          <w:type w:val="nextPage"/>
          <w:pgSz w:w="11906" w:h="16838"/>
          <w:pgMar w:left="1701" w:right="567" w:header="284" w:top="580" w:footer="0" w:bottom="567" w:gutter="0"/>
          <w:pgNumType w:fmt="decimal"/>
          <w:formProt w:val="false"/>
          <w:titlePg/>
          <w:textDirection w:val="lrTb"/>
          <w:docGrid w:type="default" w:linePitch="381" w:charSpace="0"/>
        </w:sectPr>
        <w:pStyle w:val="Normal"/>
        <w:ind w:firstLine="708"/>
        <w:jc w:val="center"/>
        <w:rPr>
          <w:b/>
          <w:b/>
        </w:rPr>
      </w:pPr>
      <w:r>
        <w:rPr>
          <w:b/>
        </w:rPr>
      </w:r>
    </w:p>
    <w:tbl>
      <w:tblPr>
        <w:tblStyle w:val="a5"/>
        <w:tblW w:w="9638" w:type="dxa"/>
        <w:jc w:val="left"/>
        <w:tblInd w:w="0" w:type="dxa"/>
        <w:tblCellMar>
          <w:top w:w="0" w:type="dxa"/>
          <w:left w:w="108" w:type="dxa"/>
          <w:bottom w:w="0" w:type="dxa"/>
          <w:right w:w="108" w:type="dxa"/>
        </w:tblCellMar>
        <w:tblLook w:val="04a0" w:noVBand="1" w:noHBand="0" w:lastColumn="0" w:firstColumn="1" w:lastRow="0" w:firstRow="1"/>
      </w:tblPr>
      <w:tblGrid>
        <w:gridCol w:w="4855"/>
        <w:gridCol w:w="4782"/>
      </w:tblGrid>
      <w:tr>
        <w:trPr/>
        <w:tc>
          <w:tcPr>
            <w:tcW w:w="4855" w:type="dxa"/>
            <w:tcBorders>
              <w:top w:val="nil"/>
              <w:left w:val="nil"/>
              <w:bottom w:val="nil"/>
              <w:right w:val="nil"/>
              <w:insideH w:val="nil"/>
              <w:insideV w:val="nil"/>
            </w:tcBorders>
            <w:shd w:fill="auto" w:val="clear"/>
          </w:tcPr>
          <w:p>
            <w:pPr>
              <w:pStyle w:val="Normal"/>
              <w:spacing w:lineRule="auto" w:line="240" w:before="0" w:after="0"/>
              <w:rPr/>
            </w:pPr>
            <w:r>
              <w:rPr/>
            </w:r>
          </w:p>
        </w:tc>
        <w:tc>
          <w:tcPr>
            <w:tcW w:w="4782" w:type="dxa"/>
            <w:tcBorders>
              <w:top w:val="nil"/>
              <w:left w:val="nil"/>
              <w:bottom w:val="nil"/>
              <w:right w:val="nil"/>
              <w:insideH w:val="nil"/>
              <w:insideV w:val="nil"/>
            </w:tcBorders>
            <w:shd w:fill="auto" w:val="clear"/>
          </w:tcPr>
          <w:p>
            <w:pPr>
              <w:pStyle w:val="Normal"/>
              <w:spacing w:lineRule="auto" w:line="240" w:before="0" w:after="0"/>
              <w:jc w:val="center"/>
              <w:rPr/>
            </w:pPr>
            <w:r>
              <w:rPr/>
              <w:t>УТВЕРЖДЕНЫ</w:t>
            </w:r>
          </w:p>
          <w:p>
            <w:pPr>
              <w:pStyle w:val="Normal"/>
              <w:spacing w:lineRule="auto" w:line="240" w:before="0" w:after="0"/>
              <w:jc w:val="center"/>
              <w:rPr/>
            </w:pPr>
            <w:r>
              <w:rPr/>
              <w:t>приказом Минэкономразвития России</w:t>
            </w:r>
          </w:p>
          <w:p>
            <w:pPr>
              <w:pStyle w:val="Normal"/>
              <w:spacing w:lineRule="auto" w:line="240" w:before="0" w:after="0"/>
              <w:jc w:val="center"/>
              <w:rPr/>
            </w:pPr>
            <w:r>
              <w:rPr/>
              <w:t>от ___________ № _____</w:t>
            </w:r>
          </w:p>
        </w:tc>
      </w:tr>
    </w:tbl>
    <w:p>
      <w:pPr>
        <w:pStyle w:val="Normal"/>
        <w:rPr>
          <w:b/>
          <w:b/>
        </w:rPr>
      </w:pPr>
      <w:r>
        <w:rPr>
          <w:b/>
        </w:rPr>
      </w:r>
    </w:p>
    <w:p>
      <w:pPr>
        <w:pStyle w:val="Normal"/>
        <w:jc w:val="center"/>
        <w:rPr>
          <w:b/>
          <w:b/>
        </w:rPr>
      </w:pPr>
      <w:r>
        <w:rPr>
          <w:b/>
        </w:rPr>
        <w:t>ПРАВИЛА</w:t>
      </w:r>
    </w:p>
    <w:p>
      <w:pPr>
        <w:pStyle w:val="Normal"/>
        <w:jc w:val="center"/>
        <w:rPr>
          <w:b/>
          <w:b/>
        </w:rPr>
      </w:pPr>
      <w:r>
        <w:rPr>
          <w:b/>
        </w:rPr>
        <w:t>взимания платы с заявителей, аккредитованных лиц подведомственному национальному органу по аккредитации федеральному государственному учреждению за внесение сведе</w:t>
      </w:r>
      <w:bookmarkStart w:id="0" w:name="_GoBack"/>
      <w:bookmarkEnd w:id="0"/>
      <w:r>
        <w:rPr>
          <w:b/>
        </w:rPr>
        <w:t>ний, предоставление сведений из реестров сертификатов соответствия, выданных аккредитованными лицами, реестров деклараций о соответствии, в том числе из национальной части Единого реестра выданных сертификатов соответствия и зарегистрированных деклараций о соответствии Евразийского экономического союза, регистрацию деклараций о соответствии в реестрах деклараций о соответствии, в том числе в национальной части Единого реестра выданных сертификатов соответствия и зарегистрированных деклараций о соответствии Евразийского экономического союза</w:t>
      </w:r>
    </w:p>
    <w:p>
      <w:pPr>
        <w:pStyle w:val="Normal"/>
        <w:rPr/>
      </w:pPr>
      <w:r>
        <w:rPr/>
      </w:r>
    </w:p>
    <w:p>
      <w:pPr>
        <w:pStyle w:val="Normal"/>
        <w:spacing w:lineRule="auto" w:line="360"/>
        <w:ind w:firstLine="708"/>
        <w:rPr/>
      </w:pPr>
      <w:r>
        <w:rPr/>
        <w:t>1.  Настоящие Правила устанавливают случаи, порядок и размеры взимания и возврата платы за внесение сведений, предоставление сведений из единого реестра сертификатов соответствия, национальной части Единого реестра выданных сертификатов соответствия и зарегистрированных деклараций о соответствии, оформленных по единой форме, реестра сертификатов соответствия на продукцию, включенную в единый перечень продукции, подлежащей обязательной сертификации, единого реестра деклараций о соответствии, реестра деклараций о соответствии продукции, включенной в единый перечень продукции, подлежащей  обязательному декларированию (далее – Реестры); за регистрацию деклараций о соответствии требованиям технических регламентов Евразийского экономического союза (Таможенного союза), требованиям технических регламентов Российской Федерации, продукции, включенной в единый перечень продукции, подлежащей декларированию соответствия, продукции, включенной в Единый перечень продукции, подлежащей подтверждению соответствия в рамках Таможенного союза с выдачей единых документов (далее – регистрация деклараций о соответствии).</w:t>
      </w:r>
    </w:p>
    <w:p>
      <w:pPr>
        <w:pStyle w:val="Normal"/>
        <w:spacing w:lineRule="auto" w:line="360"/>
        <w:ind w:firstLine="708"/>
        <w:rPr/>
      </w:pPr>
      <w:r>
        <w:rPr/>
        <w:t>2.  Плата в соответствии с настоящими Правилами (далее – плата) взимается в следующих случаях:</w:t>
      </w:r>
    </w:p>
    <w:p>
      <w:pPr>
        <w:pStyle w:val="Normal"/>
        <w:spacing w:lineRule="auto" w:line="360"/>
        <w:ind w:firstLine="708"/>
        <w:rPr/>
      </w:pPr>
      <w:r>
        <w:rPr/>
        <w:t>1)  при внесении сведений о сертификатах соответствия в Реестры (плата взимается с органа по сертификации):</w:t>
      </w:r>
    </w:p>
    <w:p>
      <w:pPr>
        <w:pStyle w:val="Normal"/>
        <w:spacing w:lineRule="auto" w:line="360"/>
        <w:ind w:firstLine="708"/>
        <w:rPr/>
      </w:pPr>
      <w:r>
        <w:rPr/>
        <w:t>за первичное внесение сведений о выданном сертификате соответствия;</w:t>
      </w:r>
    </w:p>
    <w:p>
      <w:pPr>
        <w:pStyle w:val="Normal"/>
        <w:spacing w:lineRule="auto" w:line="360"/>
        <w:ind w:firstLine="708"/>
        <w:rPr/>
      </w:pPr>
      <w:r>
        <w:rPr/>
        <w:t>за каждое внесение сведений о проведении контроля за сертифицированными объектами (прохождении периодической оценки сертифицированной продукции);</w:t>
      </w:r>
    </w:p>
    <w:p>
      <w:pPr>
        <w:pStyle w:val="Normal"/>
        <w:spacing w:lineRule="auto" w:line="360"/>
        <w:ind w:firstLine="708"/>
        <w:rPr/>
      </w:pPr>
      <w:r>
        <w:rPr/>
        <w:t>за внесение сведений о продлении срока действия сертификата соответствия;</w:t>
      </w:r>
    </w:p>
    <w:p>
      <w:pPr>
        <w:pStyle w:val="Normal"/>
        <w:spacing w:lineRule="auto" w:line="360"/>
        <w:ind w:firstLine="708"/>
        <w:rPr/>
      </w:pPr>
      <w:r>
        <w:rPr/>
        <w:t>2)  при регистрации деклараций о соответствии:</w:t>
      </w:r>
    </w:p>
    <w:p>
      <w:pPr>
        <w:pStyle w:val="Normal"/>
        <w:spacing w:lineRule="auto" w:line="360"/>
        <w:ind w:firstLine="708"/>
        <w:rPr/>
      </w:pPr>
      <w:r>
        <w:rPr/>
        <w:t xml:space="preserve">за регистрацию декларации о соответствии национальным органом </w:t>
        <w:br/>
        <w:t>по аккредитации, в том числе за внесение сведений в единый реестр деклараций о соответствии, реестр деклараций о соответствии продукции, включенной в единый перечень продукции, подлежащей декларированию соответствия, национальную часть Единого реестра выданных сертификатов соответствия и зарегистрированных деклараций о соответствии Евразийского экономического союза национальным органом по аккредитации (плата взимается с заявителя);</w:t>
      </w:r>
    </w:p>
    <w:p>
      <w:pPr>
        <w:pStyle w:val="Normal"/>
        <w:spacing w:lineRule="auto" w:line="360"/>
        <w:ind w:firstLine="708"/>
        <w:rPr/>
      </w:pPr>
      <w:r>
        <w:rPr/>
        <w:t xml:space="preserve">за внесение сведений о зарегистрированной декларации о соответствии </w:t>
        <w:br/>
        <w:t>в единый реестр деклараций о соответствии, реестр деклараций о соответствии продукции, включенной в единый перечень продукции, подлежащей декларированию соответствия, национальную часть Единого реестра выданных сертификатов соответствия и зарегистрированных деклараций о соответствии Евразийского экономического союза органом по сертификации (плата взимается с органа по сертификации).</w:t>
      </w:r>
    </w:p>
    <w:p>
      <w:pPr>
        <w:pStyle w:val="Normal"/>
        <w:spacing w:lineRule="auto" w:line="360"/>
        <w:ind w:firstLine="708"/>
        <w:rPr/>
      </w:pPr>
      <w:r>
        <w:rPr/>
        <w:t xml:space="preserve">В случае если подведомственное национальному органу по аккредитации федеральное государственное учреждение (далее – учреждение) по запросу юридического лица или физического лица выполняет аналитическую работу </w:t>
        <w:br/>
        <w:t>на основании сведений, содержащихся в Реестрах, то порядок и размеры взимания платы за такую работу определяются в каждом случае на основании расчета трудозатрат по договору, заключенному между соответствующим юридическим лицом, физическим лицом и учреждением.</w:t>
      </w:r>
    </w:p>
    <w:p>
      <w:pPr>
        <w:pStyle w:val="Normal"/>
        <w:spacing w:lineRule="auto" w:line="360"/>
        <w:ind w:firstLine="708"/>
        <w:rPr/>
      </w:pPr>
      <w:r>
        <w:rPr/>
        <w:t>3.  Не взимается плата за внесение в Реестры следующих сведений:</w:t>
      </w:r>
    </w:p>
    <w:p>
      <w:pPr>
        <w:pStyle w:val="Normal"/>
        <w:spacing w:lineRule="auto" w:line="360"/>
        <w:ind w:firstLine="708"/>
        <w:rPr/>
      </w:pPr>
      <w:r>
        <w:rPr/>
        <w:t>о приостановлении действия сертификата соответствия;</w:t>
      </w:r>
    </w:p>
    <w:p>
      <w:pPr>
        <w:pStyle w:val="Normal"/>
        <w:spacing w:lineRule="auto" w:line="360"/>
        <w:ind w:firstLine="708"/>
        <w:rPr/>
      </w:pPr>
      <w:r>
        <w:rPr/>
        <w:t>о возобновлении действия сертификата соответствия;</w:t>
      </w:r>
    </w:p>
    <w:p>
      <w:pPr>
        <w:pStyle w:val="Normal"/>
        <w:spacing w:lineRule="auto" w:line="360"/>
        <w:ind w:firstLine="708"/>
        <w:rPr/>
      </w:pPr>
      <w:r>
        <w:rPr/>
        <w:t>о прекращении действия сертификата соответствия;</w:t>
      </w:r>
    </w:p>
    <w:p>
      <w:pPr>
        <w:pStyle w:val="Normal"/>
        <w:spacing w:lineRule="auto" w:line="360"/>
        <w:ind w:firstLine="708"/>
        <w:rPr/>
      </w:pPr>
      <w:r>
        <w:rPr/>
        <w:t>о признании сертификата соответствия недействительным или  об  аннулировании такого сертификата соответствия;</w:t>
      </w:r>
    </w:p>
    <w:p>
      <w:pPr>
        <w:pStyle w:val="Normal"/>
        <w:spacing w:lineRule="auto" w:line="360"/>
        <w:ind w:firstLine="708"/>
        <w:rPr/>
      </w:pPr>
      <w:r>
        <w:rPr/>
        <w:t>о приостановлении действия декларации о соответствии;</w:t>
      </w:r>
    </w:p>
    <w:p>
      <w:pPr>
        <w:pStyle w:val="Normal"/>
        <w:spacing w:lineRule="auto" w:line="360"/>
        <w:ind w:firstLine="708"/>
        <w:rPr/>
      </w:pPr>
      <w:r>
        <w:rPr/>
        <w:t>о возобновлении действия декларации о соответствии;</w:t>
      </w:r>
    </w:p>
    <w:p>
      <w:pPr>
        <w:pStyle w:val="Normal"/>
        <w:spacing w:lineRule="auto" w:line="360"/>
        <w:ind w:firstLine="708"/>
        <w:rPr/>
      </w:pPr>
      <w:r>
        <w:rPr/>
        <w:t>о прекращении действия декларации о соответствии;</w:t>
      </w:r>
    </w:p>
    <w:p>
      <w:pPr>
        <w:pStyle w:val="Normal"/>
        <w:spacing w:lineRule="auto" w:line="360"/>
        <w:ind w:firstLine="708"/>
        <w:rPr/>
      </w:pPr>
      <w:r>
        <w:rPr/>
        <w:t>о признании декларации о соответствии недействительной или  об  аннулировании такой декларации о соответствии.</w:t>
      </w:r>
    </w:p>
    <w:p>
      <w:pPr>
        <w:pStyle w:val="Normal"/>
        <w:spacing w:lineRule="auto" w:line="360"/>
        <w:ind w:firstLine="708"/>
        <w:rPr/>
      </w:pPr>
      <w:r>
        <w:rPr/>
        <w:t xml:space="preserve">Не взимается плата в случае необходимости внесения в Реестры сведений </w:t>
        <w:br/>
        <w:t>на основании вступивших в законную силу судебных решений, решений органов государственного контроля (надзора) за соблюдением требований технических регламентов, а также в случае необходимости аннулирования учреждением сведений в Реестрах при ошибочном их внесении.</w:t>
      </w:r>
    </w:p>
    <w:p>
      <w:pPr>
        <w:pStyle w:val="Normal"/>
        <w:spacing w:lineRule="auto" w:line="360"/>
        <w:ind w:firstLine="708"/>
        <w:rPr/>
      </w:pPr>
      <w:r>
        <w:rPr/>
        <w:t>Не взимается плата за предоставление сведений о сертификатах соответствия и декларациях о соответствии, содержащихся в Реестрах, размещенных в открытом доступе на официальном сайте Федеральной службы по аккредитации в информационно-телекоммуникационной сети «Интернет».</w:t>
      </w:r>
    </w:p>
    <w:p>
      <w:pPr>
        <w:pStyle w:val="Normal"/>
        <w:spacing w:lineRule="auto" w:line="360"/>
        <w:ind w:firstLine="708"/>
        <w:rPr/>
      </w:pPr>
      <w:r>
        <w:rPr/>
        <w:t>4.  Плата взимается путем внесения денежных средств на счет учреждения, открытый в коммерческом банке.</w:t>
      </w:r>
    </w:p>
    <w:p>
      <w:pPr>
        <w:pStyle w:val="Normal"/>
        <w:spacing w:lineRule="auto" w:line="360"/>
        <w:ind w:firstLine="708"/>
        <w:rPr/>
      </w:pPr>
      <w:r>
        <w:rPr/>
        <w:t>Сведения об указанном счете учреждения размещаются на официальных сайтах национального органа по аккредитации и учреждения в информационно-телекоммуникационной сети «Интернет».</w:t>
      </w:r>
    </w:p>
    <w:p>
      <w:pPr>
        <w:pStyle w:val="Normal"/>
        <w:spacing w:lineRule="auto" w:line="360"/>
        <w:ind w:firstLine="708"/>
        <w:rPr/>
      </w:pPr>
      <w:r>
        <w:rPr/>
        <w:t>5.  Денежные средства, указанные в абзаце первом пункта 4 настоящих Правил, должны быть внесены на счет учреждения до реализации учреждением случаев, предусмотренных пунктом 2 настоящих Правил.</w:t>
      </w:r>
    </w:p>
    <w:p>
      <w:pPr>
        <w:pStyle w:val="Normal"/>
        <w:spacing w:lineRule="auto" w:line="360"/>
        <w:ind w:firstLine="708"/>
        <w:rPr/>
      </w:pPr>
      <w:r>
        <w:rPr/>
        <w:t xml:space="preserve">Внесение денежных средств осуществляется в случаях, указанных </w:t>
        <w:br/>
        <w:t xml:space="preserve">в подпунктах 1, 2 пункта 2 настоящих Правил, – соответствующим юридическим лицом (индивидуальным предпринимателем), аккредитованным в соответствии </w:t>
        <w:br/>
        <w:t>с законодательством об аккредитации в национальной системе аккредитации, либо заявителем (в случае регистрации декларации о соответствии, внесения сведений в соответствующий реестр деклараций о соответствии национальным органом по аккредитации).</w:t>
      </w:r>
    </w:p>
    <w:p>
      <w:pPr>
        <w:pStyle w:val="Normal"/>
        <w:spacing w:lineRule="auto" w:line="360"/>
        <w:ind w:firstLine="708"/>
        <w:rPr/>
      </w:pPr>
      <w:r>
        <w:rPr/>
        <w:t xml:space="preserve">Учреждение вправе выполнить проверку факта внесения соответствующих денежных средств до осуществления действий, указанных в подпунктах 1, 2 </w:t>
        <w:br/>
        <w:t>пункта 2 настоящих Правил.</w:t>
      </w:r>
    </w:p>
    <w:p>
      <w:pPr>
        <w:pStyle w:val="Normal"/>
        <w:spacing w:lineRule="auto" w:line="360"/>
        <w:ind w:firstLine="708"/>
        <w:rPr/>
      </w:pPr>
      <w:r>
        <w:rPr/>
        <w:t xml:space="preserve">6.  Размер взимаемой платы устанавливается в соответствии </w:t>
        <w:br/>
        <w:t>с приложением к настоящим Правилам.</w:t>
      </w:r>
    </w:p>
    <w:p>
      <w:pPr>
        <w:pStyle w:val="Normal"/>
        <w:spacing w:lineRule="auto" w:line="360"/>
        <w:ind w:firstLine="708"/>
        <w:rPr/>
      </w:pPr>
      <w:r>
        <w:rPr/>
        <w:t>7. Внесенная плата подлежит возврату:</w:t>
      </w:r>
    </w:p>
    <w:p>
      <w:pPr>
        <w:pStyle w:val="Normal"/>
        <w:spacing w:lineRule="auto" w:line="360"/>
        <w:ind w:firstLine="708"/>
        <w:rPr/>
      </w:pPr>
      <w:r>
        <w:rPr/>
        <w:t>в полном размере, если заявителем не представлялся запрос на услуги, указанные в пункте 2 настоящих Правил;</w:t>
      </w:r>
    </w:p>
    <w:p>
      <w:pPr>
        <w:pStyle w:val="Normal"/>
        <w:spacing w:lineRule="auto" w:line="360"/>
        <w:ind w:firstLine="708"/>
        <w:rPr/>
      </w:pPr>
      <w:r>
        <w:rPr/>
        <w:t xml:space="preserve">в случае внесения платы в большем размере, чем предусмотрено </w:t>
        <w:br/>
        <w:t>пунктом 6 настоящих Правил.</w:t>
      </w:r>
    </w:p>
    <w:p>
      <w:pPr>
        <w:pStyle w:val="Normal"/>
        <w:spacing w:lineRule="auto" w:line="360"/>
        <w:ind w:firstLine="708"/>
        <w:rPr>
          <w:rFonts w:eastAsia="Calibri" w:eastAsiaTheme="minorHAnsi"/>
        </w:rPr>
      </w:pPr>
      <w:r>
        <w:rPr/>
        <w:t>8. Возврат платежа осуществляется на основании представленного в учреждение заявления плательщика либо его уполномоченного лица.</w:t>
      </w:r>
      <w:r>
        <w:rPr>
          <w:rFonts w:eastAsia="Calibri" w:eastAsiaTheme="minorHAnsi"/>
        </w:rPr>
        <w:t xml:space="preserve"> </w:t>
      </w:r>
    </w:p>
    <w:p>
      <w:pPr>
        <w:pStyle w:val="Normal"/>
        <w:spacing w:lineRule="auto" w:line="360"/>
        <w:ind w:firstLine="708"/>
        <w:rPr>
          <w:rFonts w:eastAsia="Calibri" w:eastAsiaTheme="minorHAnsi"/>
        </w:rPr>
      </w:pPr>
      <w:r>
        <w:rPr>
          <w:rFonts w:eastAsia="Calibri" w:eastAsiaTheme="minorHAnsi"/>
        </w:rPr>
        <w:t>В заявлении о возврате платежа указываются банковские реквизиты, необходимые для возврата платежа лицу, подавшему такое заявление, а также фамилия, имя, отчество (последнее – при наличии), страховой номер индивидуального лицевого счета (СНИЛС) или реквизиты документа, удостоверяющего личность, – для физического лица, наименование юридического лица, идентификационный номер налогоплательщика (ИНН), код причины постановки на учет (КПП), код иностранной организации (КИО) (для  иностранной организации), основной государственный регистрационный номер (ОГРН), лицевой или банковский счет, наименование банка получателя, банковский идентификационный код (БИК), корреспондентский счет банка – для юридического лица, реквизиты документа, подтверждающего перечисление платежа (дата, номер), размер внесенной платы, сведения о плательщике (для физического лица – фамилия, имя, отчество (последнее – при наличии), СНИЛС, для юридического лица – наименование, ОГРН, ИНН или КПП, КИО), а также почтовый адрес или адрес электронной почты заявителя.</w:t>
      </w:r>
    </w:p>
    <w:p>
      <w:pPr>
        <w:pStyle w:val="Normal"/>
        <w:spacing w:lineRule="auto" w:line="360"/>
        <w:ind w:firstLine="709"/>
        <w:rPr>
          <w:rFonts w:eastAsia="Calibri" w:eastAsiaTheme="minorHAnsi"/>
        </w:rPr>
      </w:pPr>
      <w:r>
        <w:rPr>
          <w:rFonts w:eastAsia="Calibri" w:eastAsiaTheme="minorHAnsi"/>
        </w:rPr>
        <w:t>К заявлению о возврате платежа должен быть приложен платежный документ, подтверждающий перечисление платежа, с отметкой кредитной организации, а для заявителей, являющихся государственными (муниципальными) учреждениями, которым в соответствии с бюджетным законодательством Российской Федерации открыт лицевой счет в территориальном органе Федерального казначейства, финансовом органе субъекта Российской Федерации или финансовом органе муниципального образования, – копия платежного поручения с отметкой соответствующего территориального органа Федерального казначейства, финансового органа субъекта Российской Федерации или финансового органа муниципального образования.</w:t>
      </w:r>
    </w:p>
    <w:p>
      <w:pPr>
        <w:pStyle w:val="Normal"/>
        <w:spacing w:lineRule="auto" w:line="360"/>
        <w:ind w:firstLine="709"/>
        <w:rPr>
          <w:rFonts w:eastAsia="Calibri" w:eastAsiaTheme="minorHAnsi"/>
        </w:rPr>
      </w:pPr>
      <w:r>
        <w:rPr>
          <w:rFonts w:eastAsia="Calibri" w:eastAsiaTheme="minorHAnsi"/>
        </w:rPr>
        <w:t>В случае подачи заявления о возврате платежа уполномоченным лицом одновременно с заявлением прилагается доверенность на осуществление указанного действия.</w:t>
      </w:r>
    </w:p>
    <w:p>
      <w:pPr>
        <w:pStyle w:val="Normal"/>
        <w:spacing w:lineRule="auto" w:line="360"/>
        <w:ind w:firstLine="709"/>
        <w:rPr>
          <w:rFonts w:eastAsia="Calibri" w:eastAsiaTheme="minorHAnsi"/>
        </w:rPr>
      </w:pPr>
      <w:r>
        <w:rPr>
          <w:rFonts w:eastAsia="Calibri" w:eastAsiaTheme="minorHAnsi"/>
        </w:rPr>
        <w:t xml:space="preserve">Заявление о возврате платежа и прилагаемые к нему документы представляются в учреждение </w:t>
      </w:r>
      <w:r>
        <w:rPr/>
        <w:t>в форме электронного документа, подписанного электронной подписью, либо непосредственно или направляются заказным почтовым отправлением.</w:t>
      </w:r>
    </w:p>
    <w:p>
      <w:pPr>
        <w:pStyle w:val="Normal"/>
        <w:spacing w:lineRule="auto" w:line="360"/>
        <w:ind w:firstLine="709"/>
        <w:rPr>
          <w:rFonts w:eastAsia="Calibri" w:eastAsiaTheme="minorHAnsi"/>
        </w:rPr>
      </w:pPr>
      <w:r>
        <w:rPr>
          <w:rFonts w:eastAsia="Calibri" w:eastAsiaTheme="minorHAnsi"/>
        </w:rPr>
        <w:t>9. При отсутствии в заявлении о возврате платежа сведений, установленных абзацем вторым пункта 8 настоящих Правил, или непредставлении документов, установленных абзацами третьим – четвертым пункта 8 настоящих Правил, учреждение в срок не позднее пяти рабочих дней с момента регистрации заявления возвращает его заявителю по почтовому адресу, указанному в заявлении, или лично с указанием требований, в соответствии с которыми должно быть представлено такое заявление.</w:t>
      </w:r>
    </w:p>
    <w:p>
      <w:pPr>
        <w:pStyle w:val="Normal"/>
        <w:spacing w:lineRule="auto" w:line="360"/>
        <w:ind w:firstLine="709"/>
        <w:rPr>
          <w:rFonts w:eastAsia="Calibri" w:eastAsiaTheme="minorHAnsi"/>
        </w:rPr>
      </w:pPr>
      <w:r>
        <w:rPr>
          <w:rFonts w:eastAsia="Calibri" w:eastAsiaTheme="minorHAnsi"/>
        </w:rPr>
        <w:t xml:space="preserve">10. Учреждение после получения заявления о возврате платежа, в течение 10 рабочих дней со дня поступления заявления и указанных в пункте 8 настоящих Правил документов принимает решение о возврате уплаченных денежных средств. Платежное поручение на перечисление денежных средств направляется в банк в течение пяти рабочих дней со дня принятия решения </w:t>
        <w:br/>
        <w:t>о возврате излишне уплаченных денежных средств.</w:t>
      </w:r>
    </w:p>
    <w:p>
      <w:pPr>
        <w:pStyle w:val="Normal"/>
        <w:rPr/>
      </w:pPr>
      <w:r>
        <w:rPr/>
      </w:r>
    </w:p>
    <w:p>
      <w:pPr>
        <w:pStyle w:val="Normal"/>
        <w:ind w:firstLine="708"/>
        <w:rPr/>
      </w:pPr>
      <w:r>
        <w:rPr/>
      </w:r>
    </w:p>
    <w:p>
      <w:pPr>
        <w:pStyle w:val="Normal"/>
        <w:ind w:firstLine="708"/>
        <w:rPr/>
      </w:pPr>
      <w:r>
        <w:rPr/>
      </w:r>
    </w:p>
    <w:p>
      <w:pPr>
        <w:pStyle w:val="Normal"/>
        <w:jc w:val="center"/>
        <w:rPr/>
      </w:pPr>
      <w:r>
        <w:rPr/>
        <w:t>__________________</w:t>
      </w:r>
    </w:p>
    <w:p>
      <w:pPr>
        <w:sectPr>
          <w:headerReference w:type="default" r:id="rId4"/>
          <w:headerReference w:type="first" r:id="rId5"/>
          <w:type w:val="nextPage"/>
          <w:pgSz w:w="11906" w:h="16838"/>
          <w:pgMar w:left="1701" w:right="567" w:header="284" w:top="1134" w:footer="0" w:bottom="1134" w:gutter="0"/>
          <w:pgNumType w:start="1" w:fmt="decimal"/>
          <w:formProt w:val="false"/>
          <w:titlePg/>
          <w:textDirection w:val="lrTb"/>
          <w:docGrid w:type="default" w:linePitch="381" w:charSpace="0"/>
        </w:sectPr>
        <w:pStyle w:val="Normal"/>
        <w:rPr>
          <w:sz w:val="24"/>
          <w:szCs w:val="24"/>
        </w:rPr>
      </w:pPr>
      <w:r>
        <w:rPr>
          <w:sz w:val="24"/>
          <w:szCs w:val="24"/>
        </w:rPr>
      </w:r>
    </w:p>
    <w:p>
      <w:pPr>
        <w:pStyle w:val="Normal"/>
        <w:rPr>
          <w:sz w:val="24"/>
          <w:szCs w:val="24"/>
        </w:rPr>
      </w:pPr>
      <w:r>
        <w:rPr>
          <w:sz w:val="24"/>
          <w:szCs w:val="24"/>
        </w:rPr>
      </w:r>
    </w:p>
    <w:p>
      <w:pPr>
        <w:pStyle w:val="Normal"/>
        <w:jc w:val="right"/>
        <w:rPr/>
      </w:pPr>
      <w:r>
        <w:rPr/>
        <w:t xml:space="preserve">ПРИЛОЖЕНИЕ </w:t>
        <w:br/>
        <w:t>к Правилам взимания платы</w:t>
        <w:br/>
        <w:t xml:space="preserve"> с заявителей, аккредитованных лиц подведомственному </w:t>
        <w:br/>
        <w:t xml:space="preserve">национальному органу по аккредитации федеральному </w:t>
        <w:br/>
        <w:t xml:space="preserve">государственному учреждению за внесение сведений, </w:t>
        <w:br/>
        <w:t xml:space="preserve">предоставление сведений из реестров сертификатов соответствия, </w:t>
        <w:br/>
        <w:t xml:space="preserve">выданных аккредитованными лицами, реестров деклараций о соответствии, </w:t>
        <w:br/>
        <w:t xml:space="preserve">в том числе из национальной части Единого реестра выданных </w:t>
        <w:br/>
        <w:t xml:space="preserve">сертификатов соответствия и зарегистрированных деклараций о соответствии Евразийского экономического союза, регистрацию </w:t>
        <w:br/>
        <w:t xml:space="preserve">деклараций о соответствии в реестрах деклараций о соответствии, </w:t>
        <w:br/>
        <w:t xml:space="preserve">в том числе в национальной части Единого реестра </w:t>
        <w:br/>
        <w:t xml:space="preserve">выданных сертификатов соответствия и зарегистрированных </w:t>
        <w:br/>
        <w:t>деклараций о соответствии Евразийского экономического союза</w:t>
      </w:r>
    </w:p>
    <w:p>
      <w:pPr>
        <w:pStyle w:val="Normal"/>
        <w:jc w:val="center"/>
        <w:rPr>
          <w:sz w:val="26"/>
          <w:szCs w:val="26"/>
        </w:rPr>
      </w:pPr>
      <w:r>
        <w:rPr>
          <w:sz w:val="26"/>
          <w:szCs w:val="26"/>
        </w:rPr>
      </w:r>
    </w:p>
    <w:p>
      <w:pPr>
        <w:pStyle w:val="Normal"/>
        <w:jc w:val="center"/>
        <w:rPr>
          <w:b/>
          <w:b/>
        </w:rPr>
      </w:pPr>
      <w:r>
        <w:rPr>
          <w:b/>
        </w:rPr>
        <w:t>Размер взимаемой платы</w:t>
      </w:r>
    </w:p>
    <w:p>
      <w:pPr>
        <w:pStyle w:val="Normal"/>
        <w:jc w:val="center"/>
        <w:rPr>
          <w:b/>
          <w:b/>
        </w:rPr>
      </w:pPr>
      <w:r>
        <w:rPr>
          <w:b/>
        </w:rPr>
      </w:r>
    </w:p>
    <w:tbl>
      <w:tblPr>
        <w:tblStyle w:val="a5"/>
        <w:tblpPr w:bottomFromText="0" w:horzAnchor="text" w:leftFromText="180" w:rightFromText="180" w:tblpX="0" w:tblpXSpec="center" w:tblpY="1" w:topFromText="0" w:vertAnchor="text"/>
        <w:tblW w:w="9634" w:type="dxa"/>
        <w:jc w:val="center"/>
        <w:tblInd w:w="0" w:type="dxa"/>
        <w:tblCellMar>
          <w:top w:w="0" w:type="dxa"/>
          <w:left w:w="103" w:type="dxa"/>
          <w:bottom w:w="0" w:type="dxa"/>
          <w:right w:w="108" w:type="dxa"/>
        </w:tblCellMar>
        <w:tblLook w:val="04a0" w:noVBand="1" w:noHBand="0" w:lastColumn="0" w:firstColumn="1" w:lastRow="0" w:firstRow="1"/>
      </w:tblPr>
      <w:tblGrid>
        <w:gridCol w:w="675"/>
        <w:gridCol w:w="2268"/>
        <w:gridCol w:w="4693"/>
        <w:gridCol w:w="9"/>
        <w:gridCol w:w="1988"/>
      </w:tblGrid>
      <w:tr>
        <w:trPr/>
        <w:tc>
          <w:tcPr>
            <w:tcW w:w="675" w:type="dxa"/>
            <w:tcBorders/>
            <w:shd w:fill="auto" w:val="clear"/>
          </w:tcPr>
          <w:p>
            <w:pPr>
              <w:pStyle w:val="Normal"/>
              <w:spacing w:lineRule="auto" w:line="240" w:before="0" w:after="0"/>
              <w:jc w:val="center"/>
              <w:rPr/>
            </w:pPr>
            <w:r>
              <w:rPr/>
              <w:t xml:space="preserve">№ </w:t>
            </w:r>
            <w:r>
              <w:rPr/>
              <w:t>п/п</w:t>
            </w:r>
          </w:p>
        </w:tc>
        <w:tc>
          <w:tcPr>
            <w:tcW w:w="2268" w:type="dxa"/>
            <w:tcBorders>
              <w:right w:val="nil"/>
              <w:insideV w:val="nil"/>
            </w:tcBorders>
            <w:shd w:fill="auto" w:val="clear"/>
          </w:tcPr>
          <w:p>
            <w:pPr>
              <w:pStyle w:val="Normal"/>
              <w:spacing w:lineRule="auto" w:line="240" w:before="0" w:after="0"/>
              <w:rPr/>
            </w:pPr>
            <w:r>
              <w:rPr/>
            </w:r>
          </w:p>
        </w:tc>
        <w:tc>
          <w:tcPr>
            <w:tcW w:w="4693" w:type="dxa"/>
            <w:tcBorders>
              <w:left w:val="nil"/>
              <w:bottom w:val="nil"/>
              <w:insideH w:val="nil"/>
            </w:tcBorders>
            <w:shd w:fill="auto" w:val="clear"/>
            <w:vAlign w:val="bottom"/>
          </w:tcPr>
          <w:p>
            <w:pPr>
              <w:pStyle w:val="Normal"/>
              <w:spacing w:lineRule="auto" w:line="240" w:before="0" w:after="0"/>
              <w:jc w:val="left"/>
              <w:rPr/>
            </w:pPr>
            <w:r>
              <w:rPr/>
              <w:t>Случаи взимания платы</w:t>
            </w:r>
          </w:p>
          <w:p>
            <w:pPr>
              <w:pStyle w:val="Normal"/>
              <w:spacing w:lineRule="auto" w:line="240" w:before="0" w:after="0"/>
              <w:jc w:val="left"/>
              <w:rPr/>
            </w:pPr>
            <w:r>
              <w:rPr/>
            </w:r>
          </w:p>
        </w:tc>
        <w:tc>
          <w:tcPr>
            <w:tcW w:w="1997" w:type="dxa"/>
            <w:gridSpan w:val="2"/>
            <w:tcBorders>
              <w:left w:val="nil"/>
              <w:bottom w:val="nil"/>
              <w:insideH w:val="nil"/>
            </w:tcBorders>
            <w:shd w:fill="auto" w:val="clear"/>
            <w:vAlign w:val="center"/>
          </w:tcPr>
          <w:p>
            <w:pPr>
              <w:pStyle w:val="Normal"/>
              <w:spacing w:lineRule="auto" w:line="240" w:before="0" w:after="0"/>
              <w:jc w:val="center"/>
              <w:rPr/>
            </w:pPr>
            <w:r>
              <w:rPr/>
              <w:t>Стоимость (руб.)</w:t>
            </w:r>
          </w:p>
        </w:tc>
      </w:tr>
      <w:tr>
        <w:trPr>
          <w:trHeight w:val="1036" w:hRule="atLeast"/>
        </w:trPr>
        <w:tc>
          <w:tcPr>
            <w:tcW w:w="675" w:type="dxa"/>
            <w:vMerge w:val="restart"/>
            <w:tcBorders/>
            <w:shd w:fill="auto" w:val="clear"/>
          </w:tcPr>
          <w:p>
            <w:pPr>
              <w:pStyle w:val="Normal"/>
              <w:spacing w:lineRule="auto" w:line="240" w:before="0" w:after="0"/>
              <w:jc w:val="center"/>
              <w:rPr/>
            </w:pPr>
            <w:r>
              <w:rPr/>
              <w:t>1.</w:t>
            </w:r>
          </w:p>
        </w:tc>
        <w:tc>
          <w:tcPr>
            <w:tcW w:w="2268" w:type="dxa"/>
            <w:vMerge w:val="restart"/>
            <w:tcBorders/>
            <w:shd w:fill="auto" w:val="clear"/>
          </w:tcPr>
          <w:p>
            <w:pPr>
              <w:pStyle w:val="Normal"/>
              <w:spacing w:lineRule="auto" w:line="240" w:before="0" w:after="0"/>
              <w:rPr/>
            </w:pPr>
            <w:r>
              <w:rPr/>
              <w:t>Внесение сведений о сертификатах соответствия</w:t>
              <w:br/>
              <w:t>в Реестры (плата взимается с органа по сертификации)</w:t>
            </w:r>
          </w:p>
        </w:tc>
        <w:tc>
          <w:tcPr>
            <w:tcW w:w="4702" w:type="dxa"/>
            <w:gridSpan w:val="2"/>
            <w:tcBorders/>
            <w:shd w:fill="auto" w:val="clear"/>
          </w:tcPr>
          <w:p>
            <w:pPr>
              <w:pStyle w:val="Normal"/>
              <w:spacing w:lineRule="auto" w:line="240" w:before="0" w:after="0"/>
              <w:jc w:val="left"/>
              <w:rPr/>
            </w:pPr>
            <w:r>
              <w:rPr/>
              <w:t>Первичное внесение сведений о выданном сертификате соответствия</w:t>
            </w:r>
          </w:p>
        </w:tc>
        <w:tc>
          <w:tcPr>
            <w:tcW w:w="1988" w:type="dxa"/>
            <w:tcBorders/>
            <w:shd w:fill="auto" w:val="clear"/>
          </w:tcPr>
          <w:p>
            <w:pPr>
              <w:pStyle w:val="Normal"/>
              <w:spacing w:lineRule="auto" w:line="240" w:before="0" w:after="0"/>
              <w:rPr/>
            </w:pPr>
            <w:r>
              <w:rPr/>
              <w:t>2100</w:t>
            </w:r>
          </w:p>
        </w:tc>
      </w:tr>
      <w:tr>
        <w:trPr>
          <w:trHeight w:val="1972" w:hRule="atLeast"/>
        </w:trPr>
        <w:tc>
          <w:tcPr>
            <w:tcW w:w="675" w:type="dxa"/>
            <w:vMerge w:val="continue"/>
            <w:tcBorders/>
            <w:shd w:fill="auto" w:val="clear"/>
          </w:tcPr>
          <w:p>
            <w:pPr>
              <w:pStyle w:val="Normal"/>
              <w:spacing w:lineRule="auto" w:line="240" w:before="0" w:after="0"/>
              <w:jc w:val="center"/>
              <w:rPr/>
            </w:pPr>
            <w:r>
              <w:rPr/>
            </w:r>
          </w:p>
        </w:tc>
        <w:tc>
          <w:tcPr>
            <w:tcW w:w="2268" w:type="dxa"/>
            <w:vMerge w:val="continue"/>
            <w:tcBorders/>
            <w:shd w:fill="auto" w:val="clear"/>
          </w:tcPr>
          <w:p>
            <w:pPr>
              <w:pStyle w:val="Normal"/>
              <w:spacing w:lineRule="auto" w:line="240" w:before="0" w:after="0"/>
              <w:rPr/>
            </w:pPr>
            <w:r>
              <w:rPr/>
            </w:r>
          </w:p>
        </w:tc>
        <w:tc>
          <w:tcPr>
            <w:tcW w:w="4702" w:type="dxa"/>
            <w:gridSpan w:val="2"/>
            <w:tcBorders/>
            <w:shd w:fill="auto" w:val="clear"/>
          </w:tcPr>
          <w:p>
            <w:pPr>
              <w:pStyle w:val="Normal"/>
              <w:spacing w:lineRule="auto" w:line="240" w:before="0" w:after="0"/>
              <w:jc w:val="left"/>
              <w:rPr/>
            </w:pPr>
            <w:r>
              <w:rPr/>
              <w:t>Внесение сведений о проведении контроля за сертифицированными объектами (прохождении периодической оценки сертифицированной продукции)</w:t>
            </w:r>
          </w:p>
        </w:tc>
        <w:tc>
          <w:tcPr>
            <w:tcW w:w="1988" w:type="dxa"/>
            <w:tcBorders/>
            <w:shd w:fill="auto" w:val="clear"/>
          </w:tcPr>
          <w:p>
            <w:pPr>
              <w:pStyle w:val="Normal"/>
              <w:spacing w:lineRule="auto" w:line="240" w:before="0" w:after="0"/>
              <w:rPr/>
            </w:pPr>
            <w:r>
              <w:rPr/>
              <w:t>900</w:t>
            </w:r>
          </w:p>
        </w:tc>
      </w:tr>
      <w:tr>
        <w:trPr>
          <w:trHeight w:val="1134" w:hRule="atLeast"/>
        </w:trPr>
        <w:tc>
          <w:tcPr>
            <w:tcW w:w="675" w:type="dxa"/>
            <w:vMerge w:val="continue"/>
            <w:tcBorders/>
            <w:shd w:fill="auto" w:val="clear"/>
          </w:tcPr>
          <w:p>
            <w:pPr>
              <w:pStyle w:val="Normal"/>
              <w:spacing w:lineRule="auto" w:line="240" w:before="0" w:after="0"/>
              <w:jc w:val="center"/>
              <w:rPr/>
            </w:pPr>
            <w:r>
              <w:rPr/>
            </w:r>
          </w:p>
        </w:tc>
        <w:tc>
          <w:tcPr>
            <w:tcW w:w="2268" w:type="dxa"/>
            <w:vMerge w:val="continue"/>
            <w:tcBorders/>
            <w:shd w:fill="auto" w:val="clear"/>
          </w:tcPr>
          <w:p>
            <w:pPr>
              <w:pStyle w:val="Normal"/>
              <w:spacing w:lineRule="auto" w:line="240" w:before="0" w:after="0"/>
              <w:rPr/>
            </w:pPr>
            <w:r>
              <w:rPr/>
            </w:r>
          </w:p>
        </w:tc>
        <w:tc>
          <w:tcPr>
            <w:tcW w:w="4702" w:type="dxa"/>
            <w:gridSpan w:val="2"/>
            <w:tcBorders/>
            <w:shd w:fill="auto" w:val="clear"/>
          </w:tcPr>
          <w:p>
            <w:pPr>
              <w:pStyle w:val="Normal"/>
              <w:spacing w:lineRule="auto" w:line="240" w:before="0" w:after="0"/>
              <w:jc w:val="left"/>
              <w:rPr/>
            </w:pPr>
            <w:r>
              <w:rPr/>
              <w:t>Внесение сведений о продлении срока действия сертификата соответствия</w:t>
            </w:r>
          </w:p>
        </w:tc>
        <w:tc>
          <w:tcPr>
            <w:tcW w:w="1988" w:type="dxa"/>
            <w:tcBorders/>
            <w:shd w:fill="auto" w:val="clear"/>
          </w:tcPr>
          <w:p>
            <w:pPr>
              <w:pStyle w:val="Normal"/>
              <w:spacing w:lineRule="auto" w:line="240" w:before="0" w:after="0"/>
              <w:rPr/>
            </w:pPr>
            <w:r>
              <w:rPr/>
              <w:t>900</w:t>
            </w:r>
          </w:p>
        </w:tc>
      </w:tr>
      <w:tr>
        <w:trPr>
          <w:trHeight w:val="836" w:hRule="atLeast"/>
        </w:trPr>
        <w:tc>
          <w:tcPr>
            <w:tcW w:w="675" w:type="dxa"/>
            <w:vMerge w:val="restart"/>
            <w:tcBorders/>
            <w:shd w:fill="auto" w:val="clear"/>
          </w:tcPr>
          <w:p>
            <w:pPr>
              <w:pStyle w:val="Normal"/>
              <w:spacing w:lineRule="auto" w:line="240" w:before="0" w:after="0"/>
              <w:jc w:val="center"/>
              <w:rPr/>
            </w:pPr>
            <w:r>
              <w:rPr/>
              <w:t>2.</w:t>
            </w:r>
          </w:p>
        </w:tc>
        <w:tc>
          <w:tcPr>
            <w:tcW w:w="2268" w:type="dxa"/>
            <w:vMerge w:val="restart"/>
            <w:tcBorders/>
            <w:shd w:fill="auto" w:val="clear"/>
          </w:tcPr>
          <w:p>
            <w:pPr>
              <w:pStyle w:val="Normal"/>
              <w:spacing w:lineRule="auto" w:line="240" w:before="0" w:after="0"/>
              <w:rPr/>
            </w:pPr>
            <w:r>
              <w:rPr/>
              <w:t>Регистрация деклараций о соответствии</w:t>
            </w:r>
          </w:p>
        </w:tc>
        <w:tc>
          <w:tcPr>
            <w:tcW w:w="4702" w:type="dxa"/>
            <w:gridSpan w:val="2"/>
            <w:tcBorders/>
            <w:shd w:fill="auto" w:val="clear"/>
          </w:tcPr>
          <w:p>
            <w:pPr>
              <w:pStyle w:val="Normal"/>
              <w:spacing w:lineRule="auto" w:line="240" w:before="0" w:after="0"/>
              <w:jc w:val="left"/>
              <w:rPr/>
            </w:pPr>
            <w:r>
              <w:rPr/>
              <w:t>Регистрация декларации о соответствии национальным органом по аккредитации, в том числе внесение сведений в единый реестр деклараций о соответствии, реестр деклараций о соответствии продукции, включенной в единый перечень продукции, подлежащей декларированию соответствия, национальную часть Единого реестра выданных сертификатов соответствия и зарегистрированных деклараций о соответствии Евразийского экономического союза национальным органом по аккредитации  (плата взимается с заявителя)</w:t>
            </w:r>
          </w:p>
        </w:tc>
        <w:tc>
          <w:tcPr>
            <w:tcW w:w="1988" w:type="dxa"/>
            <w:tcBorders/>
            <w:shd w:fill="auto" w:val="clear"/>
          </w:tcPr>
          <w:p>
            <w:pPr>
              <w:pStyle w:val="Normal"/>
              <w:spacing w:lineRule="auto" w:line="240" w:before="0" w:after="0"/>
              <w:rPr/>
            </w:pPr>
            <w:r>
              <w:rPr/>
              <w:t>1000</w:t>
            </w:r>
          </w:p>
        </w:tc>
      </w:tr>
      <w:tr>
        <w:trPr>
          <w:trHeight w:val="1313" w:hRule="atLeast"/>
        </w:trPr>
        <w:tc>
          <w:tcPr>
            <w:tcW w:w="675" w:type="dxa"/>
            <w:vMerge w:val="continue"/>
            <w:tcBorders/>
            <w:shd w:fill="auto" w:val="clear"/>
          </w:tcPr>
          <w:p>
            <w:pPr>
              <w:pStyle w:val="Normal"/>
              <w:spacing w:lineRule="auto" w:line="240" w:before="0" w:after="0"/>
              <w:jc w:val="center"/>
              <w:rPr/>
            </w:pPr>
            <w:r>
              <w:rPr/>
            </w:r>
          </w:p>
        </w:tc>
        <w:tc>
          <w:tcPr>
            <w:tcW w:w="2268" w:type="dxa"/>
            <w:vMerge w:val="continue"/>
            <w:tcBorders/>
            <w:shd w:fill="auto" w:val="clear"/>
          </w:tcPr>
          <w:p>
            <w:pPr>
              <w:pStyle w:val="Normal"/>
              <w:spacing w:lineRule="auto" w:line="240" w:before="0" w:after="0"/>
              <w:rPr/>
            </w:pPr>
            <w:r>
              <w:rPr/>
            </w:r>
          </w:p>
        </w:tc>
        <w:tc>
          <w:tcPr>
            <w:tcW w:w="4702" w:type="dxa"/>
            <w:gridSpan w:val="2"/>
            <w:tcBorders/>
            <w:shd w:fill="auto" w:val="clear"/>
          </w:tcPr>
          <w:p>
            <w:pPr>
              <w:pStyle w:val="Normal"/>
              <w:spacing w:lineRule="auto" w:line="240" w:before="0" w:after="0"/>
              <w:jc w:val="left"/>
              <w:rPr/>
            </w:pPr>
            <w:r>
              <w:rPr/>
              <w:t>Внесение сведений в единый реестр деклараций о соответствии, реестр деклараций о соответствии продукции, включенной в единый перечень продукции, подлежащей декларированию соответствия, национальную часть Единого реестра выданных сертификатов соответствия и зарегистрированных деклараций о соответствии Евразийского экономического союза органом по сертификации (плата взимается с органа по сертификации).</w:t>
            </w:r>
          </w:p>
          <w:p>
            <w:pPr>
              <w:pStyle w:val="Normal"/>
              <w:spacing w:lineRule="auto" w:line="240" w:before="0" w:after="0"/>
              <w:jc w:val="left"/>
              <w:rPr/>
            </w:pPr>
            <w:r>
              <w:rPr/>
            </w:r>
          </w:p>
        </w:tc>
        <w:tc>
          <w:tcPr>
            <w:tcW w:w="1988" w:type="dxa"/>
            <w:tcBorders/>
            <w:shd w:fill="auto" w:val="clear"/>
          </w:tcPr>
          <w:p>
            <w:pPr>
              <w:pStyle w:val="Normal"/>
              <w:spacing w:lineRule="auto" w:line="240" w:before="0" w:after="0"/>
              <w:rPr/>
            </w:pPr>
            <w:r>
              <w:rPr/>
              <w:t>1000</w:t>
            </w:r>
          </w:p>
        </w:tc>
      </w:tr>
    </w:tbl>
    <w:p>
      <w:pPr>
        <w:pStyle w:val="Normal"/>
        <w:rPr/>
      </w:pPr>
      <w:r>
        <w:rPr/>
      </w:r>
    </w:p>
    <w:sectPr>
      <w:headerReference w:type="default" r:id="rId6"/>
      <w:headerReference w:type="first" r:id="rId7"/>
      <w:type w:val="nextPage"/>
      <w:pgSz w:w="11906" w:h="16838"/>
      <w:pgMar w:left="1701" w:right="567" w:header="284" w:top="800" w:footer="0" w:bottom="993" w:gutter="0"/>
      <w:pgNumType w:start="1"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65312506"/>
    </w:sdtPr>
    <w:sdtContent>
      <w:p>
        <w:pPr>
          <w:pStyle w:val="Header"/>
          <w:jc w:val="center"/>
          <w:rPr/>
        </w:pPr>
        <w:r>
          <w:rPr/>
          <w:fldChar w:fldCharType="begin"/>
        </w:r>
        <w:r>
          <w:rPr/>
          <w:instrText> PAGE </w:instrText>
        </w:r>
        <w:r>
          <w:rPr/>
          <w:fldChar w:fldCharType="separate"/>
        </w:r>
        <w:r>
          <w:rPr/>
          <w:t>2</w:t>
        </w:r>
        <w:r>
          <w:rPr/>
          <w:fldChar w:fldCharType="end"/>
        </w:r>
      </w:p>
    </w:sdtContent>
  </w:sdt>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67461449"/>
    </w:sdtPr>
    <w:sdtContent>
      <w:p>
        <w:pPr>
          <w:pStyle w:val="Header"/>
          <w:jc w:val="center"/>
          <w:rPr/>
        </w:pPr>
        <w:r>
          <w:rPr/>
          <w:fldChar w:fldCharType="begin"/>
        </w:r>
        <w:r>
          <w:rPr/>
          <w:instrText> PAGE </w:instrText>
        </w:r>
        <w:r>
          <w:rPr/>
          <w:fldChar w:fldCharType="separate"/>
        </w:r>
        <w:r>
          <w:rPr/>
          <w:t>6</w:t>
        </w:r>
        <w:r>
          <w:rPr/>
          <w:fldChar w:fldCharType="end"/>
        </w:r>
      </w:p>
    </w:sdtContent>
  </w:sdt>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23880890"/>
    </w:sdtPr>
    <w:sdtContent>
      <w:p>
        <w:pPr>
          <w:pStyle w:val="Header"/>
          <w:jc w:val="center"/>
          <w:rPr/>
        </w:pPr>
        <w:r>
          <w:rPr/>
          <w:fldChar w:fldCharType="begin"/>
        </w:r>
        <w:r>
          <w:rPr/>
          <w:instrText> PAGE </w:instrText>
        </w:r>
        <w:r>
          <w:rPr/>
          <w:fldChar w:fldCharType="separate"/>
        </w:r>
        <w:r>
          <w:rPr/>
          <w:t>2</w:t>
        </w:r>
        <w:r>
          <w:rPr/>
          <w:fldChar w:fldCharType="end"/>
        </w:r>
      </w:p>
    </w:sdtContent>
  </w:sdt>
  <w:p>
    <w:pPr>
      <w:pStyle w:val="Head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42540"/>
    <w:pPr>
      <w:widowControl/>
      <w:bidi w:val="0"/>
      <w:spacing w:lineRule="auto" w:line="240" w:before="0" w:after="0"/>
      <w:jc w:val="both"/>
    </w:pPr>
    <w:rPr>
      <w:rFonts w:ascii="Times New Roman" w:hAnsi="Times New Roman" w:eastAsia="Times New Roman" w:cs="Times New Roman"/>
      <w:color w:val="auto"/>
      <w:kern w:val="0"/>
      <w:sz w:val="28"/>
      <w:szCs w:val="28"/>
      <w:lang w:val="ru-RU"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50311e"/>
    <w:rPr>
      <w:color w:val="0000FF" w:themeColor="hyperlink"/>
      <w:u w:val="single"/>
    </w:rPr>
  </w:style>
  <w:style w:type="character" w:styleId="Style14" w:customStyle="1">
    <w:name w:val="Верхний колонтитул Знак"/>
    <w:basedOn w:val="DefaultParagraphFont"/>
    <w:link w:val="a6"/>
    <w:uiPriority w:val="99"/>
    <w:qFormat/>
    <w:rsid w:val="00410df4"/>
    <w:rPr>
      <w:rFonts w:ascii="Times New Roman" w:hAnsi="Times New Roman" w:eastAsia="Times New Roman" w:cs="Times New Roman"/>
      <w:sz w:val="28"/>
      <w:szCs w:val="28"/>
    </w:rPr>
  </w:style>
  <w:style w:type="character" w:styleId="Style15" w:customStyle="1">
    <w:name w:val="Нижний колонтитул Знак"/>
    <w:basedOn w:val="DefaultParagraphFont"/>
    <w:link w:val="a8"/>
    <w:uiPriority w:val="99"/>
    <w:qFormat/>
    <w:rsid w:val="00410df4"/>
    <w:rPr>
      <w:rFonts w:ascii="Times New Roman" w:hAnsi="Times New Roman" w:eastAsia="Times New Roman" w:cs="Times New Roman"/>
      <w:sz w:val="28"/>
      <w:szCs w:val="28"/>
    </w:rPr>
  </w:style>
  <w:style w:type="character" w:styleId="Style16" w:customStyle="1">
    <w:name w:val="Текст выноски Знак"/>
    <w:basedOn w:val="DefaultParagraphFont"/>
    <w:link w:val="aa"/>
    <w:uiPriority w:val="99"/>
    <w:semiHidden/>
    <w:qFormat/>
    <w:rsid w:val="00522517"/>
    <w:rPr>
      <w:rFonts w:ascii="Tahoma" w:hAnsi="Tahoma" w:eastAsia="Times New Roman" w:cs="Tahoma"/>
      <w:sz w:val="16"/>
      <w:szCs w:val="16"/>
    </w:rPr>
  </w:style>
  <w:style w:type="paragraph" w:styleId="Heading">
    <w:name w:val="Heading"/>
    <w:basedOn w:val="Normal"/>
    <w:next w:val="TextBody"/>
    <w:qFormat/>
    <w:pPr>
      <w:keepNext w:val="true"/>
      <w:spacing w:before="240" w:after="120"/>
    </w:pPr>
    <w:rPr>
      <w:rFonts w:ascii="Liberation Sans" w:hAnsi="Liberation Sans" w:eastAsia="Droid Sans Fallback"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onsPlusNormal" w:customStyle="1">
    <w:name w:val="ConsPlusNormal"/>
    <w:qFormat/>
    <w:rsid w:val="0050311e"/>
    <w:pPr>
      <w:widowControl w:val="false"/>
      <w:bidi w:val="0"/>
      <w:spacing w:lineRule="auto" w:line="240" w:before="0" w:after="0"/>
      <w:jc w:val="left"/>
    </w:pPr>
    <w:rPr>
      <w:rFonts w:ascii="Calibri" w:hAnsi="Calibri" w:eastAsia="Times New Roman" w:cs="Calibri" w:asciiTheme="minorHAnsi" w:hAnsiTheme="minorHAnsi"/>
      <w:color w:val="auto"/>
      <w:kern w:val="0"/>
      <w:sz w:val="28"/>
      <w:szCs w:val="20"/>
      <w:lang w:eastAsia="ru-RU" w:val="ru-RU" w:bidi="ar-SA"/>
    </w:rPr>
  </w:style>
  <w:style w:type="paragraph" w:styleId="ListParagraph">
    <w:name w:val="List Paragraph"/>
    <w:basedOn w:val="Normal"/>
    <w:uiPriority w:val="34"/>
    <w:qFormat/>
    <w:rsid w:val="00701bb7"/>
    <w:pPr>
      <w:spacing w:before="0" w:after="0"/>
      <w:ind w:left="720" w:hanging="0"/>
      <w:contextualSpacing/>
    </w:pPr>
    <w:rPr/>
  </w:style>
  <w:style w:type="paragraph" w:styleId="ConsPlusTitle" w:customStyle="1">
    <w:name w:val="ConsPlusTitle"/>
    <w:qFormat/>
    <w:rsid w:val="00822fd8"/>
    <w:pPr>
      <w:widowControl w:val="false"/>
      <w:bidi w:val="0"/>
      <w:spacing w:lineRule="auto" w:line="240" w:before="0" w:after="0"/>
      <w:jc w:val="left"/>
    </w:pPr>
    <w:rPr>
      <w:rFonts w:ascii="Calibri" w:hAnsi="Calibri" w:eastAsia="Times New Roman" w:cs="Calibri" w:asciiTheme="minorHAnsi" w:hAnsiTheme="minorHAnsi"/>
      <w:b/>
      <w:color w:val="auto"/>
      <w:kern w:val="0"/>
      <w:sz w:val="28"/>
      <w:szCs w:val="20"/>
      <w:lang w:eastAsia="ru-RU" w:val="ru-RU" w:bidi="ar-SA"/>
    </w:rPr>
  </w:style>
  <w:style w:type="paragraph" w:styleId="Header">
    <w:name w:val="Header"/>
    <w:basedOn w:val="Normal"/>
    <w:link w:val="a7"/>
    <w:uiPriority w:val="99"/>
    <w:unhideWhenUsed/>
    <w:rsid w:val="00410df4"/>
    <w:pPr>
      <w:tabs>
        <w:tab w:val="center" w:pos="4677" w:leader="none"/>
        <w:tab w:val="right" w:pos="9355" w:leader="none"/>
      </w:tabs>
    </w:pPr>
    <w:rPr/>
  </w:style>
  <w:style w:type="paragraph" w:styleId="Footer">
    <w:name w:val="Footer"/>
    <w:basedOn w:val="Normal"/>
    <w:link w:val="a9"/>
    <w:uiPriority w:val="99"/>
    <w:unhideWhenUsed/>
    <w:rsid w:val="00410df4"/>
    <w:pPr>
      <w:tabs>
        <w:tab w:val="center" w:pos="4677" w:leader="none"/>
        <w:tab w:val="right" w:pos="9355" w:leader="none"/>
      </w:tabs>
    </w:pPr>
    <w:rPr/>
  </w:style>
  <w:style w:type="paragraph" w:styleId="BalloonText">
    <w:name w:val="Balloon Text"/>
    <w:basedOn w:val="Normal"/>
    <w:link w:val="ab"/>
    <w:uiPriority w:val="99"/>
    <w:semiHidden/>
    <w:unhideWhenUsed/>
    <w:qFormat/>
    <w:rsid w:val="00522517"/>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uiPriority w:val="59"/>
    <w:rsid w:val="00c26f7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61456-3343-4F99-B922-F13D980A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Application>LibreOffice/6.0.7.3.0$Linux_X86_64 LibreOffice_project/00m0$Build-3</Application>
  <Pages>10</Pages>
  <Words>1594</Words>
  <Characters>11981</Characters>
  <CharactersWithSpaces>13559</CharactersWithSpaces>
  <Paragraphs>71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2019-04-16T12:55:00Z</dcterms:created>
  <dc:creator>Жарова Анастасия Галустовна</dc:creator>
  <dc:description/>
  <dc:language>en-AU</dc:language>
  <cp:lastModifiedBy/>
  <cp:lastPrinted>2018-10-19T08:45:00Z</cp:lastPrinted>
  <dcterms:modified xsi:type="dcterms:W3CDTF">2019-04-16T17:37:28Z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